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9" w:rsidRPr="00C90342" w:rsidRDefault="00B05B39" w:rsidP="00CD0D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от 17 ноября 2020 г. N 2112</w:t>
      </w:r>
    </w:p>
    <w:p w:rsidR="00B05B39" w:rsidRPr="00C90342" w:rsidRDefault="00B05B39" w:rsidP="00CD0D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"РАЗВИТИЕ МАЛОГО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 СРЕДНЕГО ПРЕДПРИНИМАТЕЛЬСТВА В ГОРОДЕ КУРСКЕ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342" w:rsidRPr="00C903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от 28.06.2021 </w:t>
            </w:r>
            <w:hyperlink r:id="rId5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N 371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, от 16.07.2021 </w:t>
            </w:r>
            <w:hyperlink r:id="rId6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N 415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, от 10.11.2021 </w:t>
            </w:r>
            <w:hyperlink r:id="rId7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N 684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от 19.01.2022 </w:t>
            </w:r>
            <w:hyperlink r:id="rId8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N 12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90342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903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формировании и реализации муниципальных программ города Курска", </w:t>
      </w:r>
      <w:hyperlink r:id="rId11" w:history="1">
        <w:r w:rsidRPr="00C9034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29.12.2018 N 410-ра (в ред. от 17.04.2020 N 99-ра) "Об утверждении перечня муниципальных программ города Курска" постановляю: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8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в городе Курске на 2021 - 2024 годы" (далее - Программа).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Комитету экономического развития Администрации города Курска (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Заковырина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А.К.), департаменту закупок для муниципальных нужд города Курска (Королев М.Н.), комитету по управлению муниципальным имуществом города Курска (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О.В.), управлению делами Администрации города Курска (Кабан А.Н.), управлению информации и печати Администрации города Курска (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Т.В.), МКУ "Территория развития и поддержки предпринимательства и социальных инициатив "Перспектива" (Кондратьева Е.М.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) обеспечить реализацию программных мероприятий.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3. Комитету финансов города Курска (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В.И.) при подготовке проекта бюджета города Курска на очередной финансовый год и плановый период предусмотреть ассигнования на реализацию мероприятий </w:t>
      </w:r>
      <w:hyperlink w:anchor="P38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90342">
        <w:rPr>
          <w:rFonts w:ascii="Times New Roman" w:hAnsi="Times New Roman" w:cs="Times New Roman"/>
          <w:sz w:val="28"/>
          <w:szCs w:val="28"/>
        </w:rPr>
        <w:t>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распоряжения в газете "Городские известия".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города Курска (Кабан А.Н.) обеспечить размещение настоящего постановления на официальном сайте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Курска в информационно-телекоммуникационной сети "Интернет".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Курска Кудрявцева Э.А.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7. Постановление вступает в силу с 01.01.2021.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Н.А.БАСТРИКОВА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Утверждена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от 17 ноября 2020 г. N 2112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9034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ГОРОДЕ КУРСКЕ НА 2021 - 2024 ГОДЫ"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ПАСПОРТ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городе Курске 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1"/>
        <w:gridCol w:w="6009"/>
      </w:tblGrid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647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Исполнитель-координатор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Администрации города Курска</w:t>
            </w:r>
          </w:p>
        </w:tc>
      </w:tr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Администрации города Курска;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"Территория развития и поддержки предпринимательства и социальных инициатив "Перспектива" (далее - МКУ "Перспектива");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департамент закупок для муниципальных нужд города Курска;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города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печати Администрации города Курска</w:t>
            </w:r>
          </w:p>
        </w:tc>
      </w:tr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 в городе Курске</w:t>
            </w:r>
          </w:p>
        </w:tc>
      </w:tr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базы, обеспечивающей благоприятные условия для развития малого и среднего предпринимательства;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финансовая и имущественная поддержка субъектов малого и среднего предпринимательства;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C90342" w:rsidRPr="00C90342">
        <w:tc>
          <w:tcPr>
            <w:tcW w:w="298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09" w:type="dxa"/>
          </w:tcPr>
          <w:p w:rsidR="00B05B39" w:rsidRPr="00C90342" w:rsidRDefault="00B05B39" w:rsidP="00CD0D2D">
            <w:pPr>
              <w:pStyle w:val="ConsPlusNormal"/>
              <w:ind w:firstLine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2021 - 2024 годы, в 1 этап</w:t>
            </w:r>
          </w:p>
        </w:tc>
      </w:tr>
      <w:tr w:rsidR="00C90342" w:rsidRPr="00C90342">
        <w:tblPrEx>
          <w:tblBorders>
            <w:insideH w:val="nil"/>
          </w:tblBorders>
        </w:tblPrEx>
        <w:tc>
          <w:tcPr>
            <w:tcW w:w="2981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00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на 2021 - 2024 годы - 50685,0 тыс. руб., в том числе: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 целом по годам: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год - 15553,4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2022 год - 17090,6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2023 год - 9020,5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2024 год - 9020,5 тыс. руб.;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- 41235 тыс. руб., в том числе по годам: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год - 15103,4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2022 год - 14090,6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2023 год - 6020,5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2024 год - 6020,5 тыс. руб.;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на условиях </w:t>
            </w:r>
            <w:proofErr w:type="spell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предполагаемых 9450,0 тыс. руб., в том числе по годам: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год - 450,0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2022 год - 3000,0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2023 год - 3000,0 тыс. руб.,</w:t>
            </w:r>
          </w:p>
          <w:p w:rsidR="00B05B39" w:rsidRPr="00C90342" w:rsidRDefault="00B05B39" w:rsidP="00CD0D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2024 год - 3000,0 тыс. руб.</w:t>
            </w:r>
          </w:p>
        </w:tc>
      </w:tr>
      <w:tr w:rsidR="00C90342" w:rsidRPr="00C90342">
        <w:tblPrEx>
          <w:tblBorders>
            <w:insideH w:val="nil"/>
          </w:tblBorders>
        </w:tblPrEx>
        <w:tc>
          <w:tcPr>
            <w:tcW w:w="8990" w:type="dxa"/>
            <w:gridSpan w:val="2"/>
            <w:tcBorders>
              <w:top w:val="nil"/>
            </w:tcBorders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342" w:rsidRPr="00C90342">
        <w:tblPrEx>
          <w:tblBorders>
            <w:insideH w:val="nil"/>
          </w:tblBorders>
        </w:tblPrEx>
        <w:tc>
          <w:tcPr>
            <w:tcW w:w="2981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устойчивому развитию малого и среднего предпринимательства,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услуг, расширению рынков сбыта продукции курских товаропроизводителей.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будут получены следующие результаты: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 1000 хозяйствующих субъектов малого и среднего предпринимательства с целью выявления существующих проблем их развития;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предоставлены субсидии 52 хозяйствующим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созданы 156 новых рабочих мест получателями субсидий, связанных с организацией и ведением дела;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субсидии 9 хозяйствующим субъектам на возмещение части затрат, связанных с продвижением товаров на </w:t>
            </w:r>
            <w:proofErr w:type="spell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маркетплейсах</w:t>
            </w:r>
            <w:proofErr w:type="spell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сохранение числа субъектов малого и среднего предпринимательства в расчете на 10 тыс. чел. населения ежегодно не менее 483,2 ед.;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доля закупок у субъектов малого и среднего предпринимательства и социально ориентированных некоммерческих организаций не менее 15% ежегодно в совокупном годовом объеме закупок, рассчитанном с учетом требований </w:t>
            </w:r>
            <w:hyperlink r:id="rId12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пункта 1 части 1 ст. 30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помещения МКУ "Перспектива" в аренду на льготных условиях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субъектам малого и среднего предпринимательства;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наполняемость помещений МКУ "Перспектива" составит не менее 80%;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оказаны 1480 консультативных, информационных услуг МКУ "Перспектива";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проведены 8 экскурсий на предприятия резидентов МКУ "Перспектива" для школьников и студентов;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проведены 12 мероприятий по популяризации предпринимательской деятельности для школьников и студентов учебных заведений города Курска;</w:t>
            </w:r>
          </w:p>
          <w:p w:rsidR="00B05B39" w:rsidRPr="00C90342" w:rsidRDefault="00B05B39" w:rsidP="00CD0D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4 показа, презентации продукции предприятий, входящих в состав </w:t>
            </w: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Консорциума предприятий легкой промышленности города Курска</w:t>
            </w:r>
            <w:proofErr w:type="gram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B39" w:rsidRPr="00C90342" w:rsidRDefault="00B05B39" w:rsidP="00CD0D2D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обеспечено участие 320 слушателей в обучающих семинарах "Как стать предпринимателем?";</w:t>
            </w:r>
          </w:p>
          <w:p w:rsidR="00B05B39" w:rsidRPr="00C90342" w:rsidRDefault="00B05B39" w:rsidP="00CD0D2D">
            <w:pPr>
              <w:pStyle w:val="ConsPlusNorma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проведение 12 семинаров для субъектов малого и среднего предпринимательства (включая социальные предприятия) по вопросам участия в закупках товаров, работ, услуг в соответствии с Федеральным </w:t>
            </w:r>
            <w:hyperlink r:id="rId13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B05B39" w:rsidRPr="00C90342" w:rsidRDefault="00B05B39" w:rsidP="00CD0D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привлечены к участию в </w:t>
            </w:r>
            <w:proofErr w:type="spell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 1200 хозяйствующих субъектов малого и среднего предпринимательства (включая социальные предприятия);</w:t>
            </w:r>
          </w:p>
          <w:p w:rsidR="00B05B39" w:rsidRPr="00C90342" w:rsidRDefault="00B05B39" w:rsidP="00CD0D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льготного размещения оптоволоконного кабеля на опорах наружного освещения ежегодно 5 субъектам малого и среднего предпринимательства, осуществляющим деятельность в сфере телекоммуникационных технологий;</w:t>
            </w:r>
          </w:p>
          <w:p w:rsidR="00B05B39" w:rsidRPr="00C90342" w:rsidRDefault="00B05B39" w:rsidP="00CD0D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30 консультативных и информационных услуг по разъяснению условий и порядка получения субъектами малого и среднего предпринимательства статуса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"социальное предприятие"</w:t>
            </w:r>
          </w:p>
        </w:tc>
      </w:tr>
      <w:tr w:rsidR="00B05B39" w:rsidRPr="00C90342">
        <w:tblPrEx>
          <w:tblBorders>
            <w:insideH w:val="nil"/>
          </w:tblBorders>
        </w:tblPrEx>
        <w:tc>
          <w:tcPr>
            <w:tcW w:w="8990" w:type="dxa"/>
            <w:gridSpan w:val="2"/>
            <w:tcBorders>
              <w:top w:val="nil"/>
            </w:tcBorders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I. Характеристика текущего состояния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городе Курске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Деятельность малого и среднего предпринимательства является важным индикатором делового и экономического климата в городе Курске. В сфере малого и среднего бизнеса заложен потенциал для развития конкуренции, увеличения числа дополнительных рабочих мест, расширения налоговой базы.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Количество малых и средних предприятий и индивидуальных предпринимателей в городе Курске в 2016 - 2019 годах характеризуется следующими показателями: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134"/>
        <w:gridCol w:w="1077"/>
        <w:gridCol w:w="1276"/>
        <w:gridCol w:w="1191"/>
      </w:tblGrid>
      <w:tr w:rsidR="00C90342" w:rsidRPr="00C90342">
        <w:tc>
          <w:tcPr>
            <w:tcW w:w="3402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90342" w:rsidRPr="00C90342">
        <w:tc>
          <w:tcPr>
            <w:tcW w:w="3402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Малые и средние предприятия, включая вновь образованные без определенного типа</w:t>
            </w:r>
          </w:p>
        </w:tc>
        <w:tc>
          <w:tcPr>
            <w:tcW w:w="85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9098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276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</w:p>
        </w:tc>
        <w:tc>
          <w:tcPr>
            <w:tcW w:w="119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8723</w:t>
            </w:r>
          </w:p>
        </w:tc>
      </w:tr>
      <w:tr w:rsidR="00C90342" w:rsidRPr="00C90342">
        <w:tc>
          <w:tcPr>
            <w:tcW w:w="3402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5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13984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13963</w:t>
            </w:r>
          </w:p>
        </w:tc>
        <w:tc>
          <w:tcPr>
            <w:tcW w:w="1276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13984</w:t>
            </w:r>
          </w:p>
        </w:tc>
        <w:tc>
          <w:tcPr>
            <w:tcW w:w="119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13928</w:t>
            </w:r>
          </w:p>
        </w:tc>
      </w:tr>
      <w:tr w:rsidR="00B05B39" w:rsidRPr="00C90342">
        <w:tc>
          <w:tcPr>
            <w:tcW w:w="3402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Всего субъектов малого и среднего предпринимательства</w:t>
            </w:r>
          </w:p>
        </w:tc>
        <w:tc>
          <w:tcPr>
            <w:tcW w:w="85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23082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23254</w:t>
            </w:r>
          </w:p>
        </w:tc>
        <w:tc>
          <w:tcPr>
            <w:tcW w:w="1276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22911</w:t>
            </w:r>
          </w:p>
        </w:tc>
        <w:tc>
          <w:tcPr>
            <w:tcW w:w="119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22651</w:t>
            </w:r>
          </w:p>
        </w:tc>
      </w:tr>
    </w:tbl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По состоянию на 01.01.2020 в городе Курске осуществляют свою деятельность 22,7 тыс. субъектов малого и среднего предпринимательства. Следует отметить, что общее количество субъектов предпринимательства с 2016 по 2019 год уменьшилось на 431 единицу. Данное изменение произошло из-за уменьшения количества малых и средних предприятий (- 375 ед.) и числа индивидуальных предпринимателей (- 56 ед.).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>В целом структура малого и среднего предпринимательства города Курска включает в себя практически все виды экономической деятельности, однако в большей степени малое и среднее предпринимательство сконцентрировано в таких отраслях как: оптовая и розничная торговля - 34,9%, строительство - 15,2%, обрабатывающие производства - 9,4%, деятельность профессиональная, научная и техническая - 8,2%, транспортировка и хранение - 7,4%, деятельность по операциям с недвижимым имуществом - 7,1%.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lastRenderedPageBreak/>
        <w:t>С 2009 по 2020 годы на территории города реализовались три муниципальные программы по поддержке и развитию малого и среднего предпринимательства города Курска.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2009 - 2013 годах поддержка субъектов малого и среднего предпринимательства в городе Курске оказывалась в соответствии с долгосрочной целевой Программой развития и поддержки малого и среднего предпринимательства в городе Курске на 2009 - 2015 годы, утвержденной постановлением Администрации города Курска от 21.08.2009 N 1774.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2014 - 2016 годах поддержка субъектов малого и среднего предпринимательства в городе Курске оказывалась в соответствии с муниципальной </w:t>
      </w:r>
      <w:hyperlink r:id="rId14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в городе Курске на 2014 - 2016 годы", утвержденной постановлением Администрации города Курска от 15.10.2013 N 3549.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2017 - 2020 годах поддержка субъектов малого и среднего предпринимательства в городе Курске оказывалась в соответствии с муниципальной </w:t>
      </w:r>
      <w:hyperlink r:id="rId15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в городе Курске на 2017 - 2020 годы", утвержденной постановлением Администрации города Курска от 17.10.2016 N 3291.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2010 - 2019 гг. в рамках реализации программ адресную поддержку до 300 тыс. руб. получили 197 субъектов малого и среднего предпринимательства на организацию и ведение собственного дела. Получателями поддержки создано 794 новых рабочих мест.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субсидий с 2010 по 2019 год составила 45 млн. 458 тыс. 548 руб. (31 млн. 658 тыс. 548 руб. -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и средств, поступивших из федерального бюджета).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За 2019 год 15 субъектов малого и среднего предпринимательства получили финансовую поддержку в размере 4 млн. 233 тыс. 750 руб. (2 млн. 733 тыс. 750 руб. -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бюджета), ими создано 84 новых рабочих места. Предприятия, получившие поддержку, осуществляют деятельность в сфере обрабатывающих производств, физкультурно-оздоровительной деятельности, производства, предоставления социальных и бытовых услуг и др.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целях развития инфраструктуры поддержки малого и среднего бизнеса осуществлялась деятельность МКУ "Перспектива". Учреждение предоставляло начинающим предпринимателям на льготных условиях в аренду нежилые помещения, оказывало на бесплатной и платной основе бухгалтерские, юридические и другие услуги. На 31.12.2019 Резидентами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являлись 6 хозяйствующих субъектов.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Кроме того, сотрудниками данного учреждения предоставлялись консультации, оказывались платные услуги по ведению бухгалтерского учета, разработке бизнес-планов. Специалистами МКУ "Перспектива" оказано более 400 бесплатных консультаций, велось ежедневное текущее консультирование Резидентов. МКУ "Перспектива" является управляющей компанией четырех объединений: Консорциум легкой промышленности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города Курска, Консорциум IT-предприятий города Курска, Консорциум туристических организаций города Курска и Консорциум ландшафтного строительства и производителей посадочного материала.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Для оказания помощи гражданам, желающим открыть собственное дело, функционирует Центр информационно-методической поддержки малого предпринимательства, в котором проходят семинарские занятия, включающие разделы: управление бизнесом, налогообложение, трудовое право, предпринимательское право и т.д. Такое обучение позволяет сориентироваться в основах предпринимательства и новичкам, и людям, занимающимся предпринимательской деятельностью, а также оказавшимся в трудной жизненной ситуации. За период с 2014 по 2019 годы проведено 22 курса занятий, более 1100 человек пополнили свои знания в области ведения предпринимательской деятельности.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Организована работа общественно-экспертного Совета по вопросам развития предпринимательства города Курска, на заседаниях которого рассматриваются актуальные вопросы, связанные с деятельностью субъектов малого и среднего предпринимательства.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Несмотря на положительные изменения в сфере поддержки и развития малого и среднего предпринимательства, остаются проблемы, препятствующие развитию данного сектора экономики, такие, как: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на открытие дела и ограниченный доступ к кредитным ресурсам из-за высокой процентной ставки кредита;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недостаточное нормативно-правовое регулирование деятельности субъектов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недостаточное информационное обеспечение в правовой сфере субъектов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низкий уровень предпринимательской культуры и квалификации кадров, занятых на малых и средних предприятиях;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недостаточное продвижение продукции, производимой малыми и средними предприятиями, на внутренний и внешний рынки.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>Для того чтобы сохранить существующие и создать новые малые и средние предприятия, увеличить количество рабочих мест, занятых в сфере производства, оказывать предусмотренные законодательством формы поддержки субъектов малого и среднего предпринимательства разработана настоящая Программа, призванная сконцентрировать усилия Администрации города Курска, органов исполнительной власти Курской области, общественных объединений предпринимателей на решении указанных проблем.</w:t>
      </w:r>
      <w:proofErr w:type="gramEnd"/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II. Цель и задачи Программы, сроки ее реализации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законами от 06.10.2003 </w:t>
      </w:r>
      <w:hyperlink r:id="rId16" w:history="1">
        <w:r w:rsidRPr="00C9034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17" w:history="1">
        <w:r w:rsidRPr="00C90342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"О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малого и среднего предпринимательства в Российской Федерации", </w:t>
      </w:r>
      <w:hyperlink r:id="rId18" w:history="1">
        <w:r w:rsidRPr="00C90342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</w:t>
      </w:r>
      <w:hyperlink r:id="rId19" w:history="1">
        <w:r w:rsidRPr="00C903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от 19.11.2019 N 151-6-ОС "Об утверждении стратегии социально-экономического развития города Курска на 2019 - 2030 годы" и представляет собой комплекс мероприятий по созданию благоприятных условий для развития малого и среднего предпринимательства, сформированных с учетом позитивных наработок в финансовой и иных формах поддержки субъектов малого и среднего предпринимательства.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Основной целью Программы является содействие развитию малого и среднего предпринимательства в городе Курске.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совершенствование правовой базы, обеспечивающей благоприятные условия для развития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финансовая и имущественная поддержка субъектов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Программа будет реализована в один этап в течение 2021 - 2024 годов.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III. Мероприятия Программы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Программа содержит комплекс мероприятий, направленных на достижение ее цели и решение задач. Мероприятия увязаны по срокам, ресурсам и исполнителям и отражают конечный результат, подлежащий оценке.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Для решения задачи "Совершенствование правовой базы, обеспечивающей благоприятные условия для развития малого и среднего предпринимательства" предусматриваются следующие мероприятия: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анализ, разработка и принятие нормативных правовых актов в целях совершенствования действующей нормативной правовой базы, регулирующей осуществление предпринимательской деятельности;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привлечение общественных организаций предпринимателей к разработке и экспертизе правовых актов, касающихся осуществления предпринимательской деятельности;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проведение информационно-консультационных мероприятий по разъяснению условий и порядка получения субъектами малого и среднего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статуса "социальное предприятие;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мониторинг деятельности субъектов малого и среднего предпринимательства (с подготовкой ежегодного отчета по результатам мониторинга).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рамках задачи "Финансовая и имущественная поддержка субъектов малого и среднего предпринимательства" будут выполняться следующие мероприятия: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части затрат, связанных с продвижением товаров на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города Курска - получателей субсидий (с размещением его на сайте Администрации города Курска в информационной телекоммуникационной сети "Интернет");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предоставление на конкурсной основе в аренду помещений МКУ "Перспектива" на льготных условиях хозяйствующим субъектам малого, среднего и социального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предоставление субъектам малого и среднего предпринимательства (включая социальные предприятия) преимущественного права выкупа арендуемого имущества в рамках реализации Федерального </w:t>
      </w:r>
      <w:hyperlink r:id="rId20" w:history="1">
        <w:r w:rsidRPr="00C9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от 22.07.2008 N 159-ФЗ;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предоставление права льготного размещения оптоволоконного кабеля на опорах наружного освещения субъектам малого и среднего предпринимательства, осуществляющим деятельность в сфере телекоммуникационных технологий;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проведение паспортизации инвестиционных площадок города Курска.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Для решения задачи "Развитие инфраструктуры поддержки субъектов малого и среднего предпринимательства" предусматриваются следующие мероприятия: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деятельности Консорциума предприятий легкой промышленности города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финансовое обеспечение организации деятельности МКУ "Перспектива";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проведение экскурсий для школьников и студентов на предприятиях резидентов МКУ "Перспектива";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предпринимательской деятельности среди школьников и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студентов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организация проведения показов, презентаций продукции предприятий, входящих в состав Консорциума предприятий легкой промышленности города.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рамках задачи "Информационная поддержка субъектов малого и среднего предпринимательства" будут выполняться следующие мероприятия: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организация проведения на регулярной основе обучающих семинаров "Как стать предпринимателем?";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мероприятий, направленных на обучение субъектов малого и среднего предпринимательства (включая социальные предприятия) особенностям участия в закупках товаров, работ, услуг для нужд государственного сектора экономики - реализация образовательных мероприятий для субъектов малого, среднего и социального предпринимательства по вопросам участия в закупках товаров, работ, услуг в соответствии с Федеральным </w:t>
      </w:r>
      <w:hyperlink r:id="rId21" w:history="1">
        <w:r w:rsidRPr="00C90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нужд" и Федеральным </w:t>
      </w:r>
      <w:hyperlink r:id="rId22" w:history="1">
        <w:r w:rsidRPr="00C90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от 18.07.2011 N 223-ФЗ "О закупках товаров, работ, услуг отдельными видами юридических лиц";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организация проведения семинаров для предпринимателей Консорциумом IT-предприятий города Курска, в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. для популяризации программных продуктов отечественного производства;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размещение информационных материалов, связанных с деятельностью малого, среднего предпринимательства (включая социальные предприятия), МКУ "Перспектива" в муниципальной газете "Городские известия", на сайтах Администрации города Курска, МКУ "Перспектива" и иных СМИ;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размещение на сайте МКУ "Перспектива" информации о деятельности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организация и проведение городских конкурсов, профессиональных праздников, культурно-массовых мероприятий, форумов и фестивалей с участием субъектов малого и среднего предпринимательства (включая социальные предприятия);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популяризацию малого и среднего предпринимательства (включая социальные предприятия) путем организации и проведения городских конференций, "круглых столов", семинаров;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участия Консорциума предприятий легкой промышленности города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туристических организаций города Курска в научно-практических конференциях по отраслевой принадлежности;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и среднего предпринимательства (включая социальные предприятия) к участию в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обеспечение участия в выставках-ярмарках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защита Реестра субъектов малого и среднего предпринимательства города Курска - получателей субсидий;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размещение информац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дином реестре российских программ для электронных вычислительных машин и баз данных на официальном сайте Администрации города Курска и МКУ "Перспектива";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</w:t>
      </w:r>
    </w:p>
    <w:p w:rsidR="00B05B39" w:rsidRPr="00C90342" w:rsidRDefault="00C90342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5" w:history="1">
        <w:r w:rsidR="00B05B39" w:rsidRPr="00C9034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05B39" w:rsidRPr="00C90342">
        <w:rPr>
          <w:rFonts w:ascii="Times New Roman" w:hAnsi="Times New Roman" w:cs="Times New Roman"/>
          <w:sz w:val="28"/>
          <w:szCs w:val="28"/>
        </w:rPr>
        <w:t xml:space="preserve"> программных мероприятий, сроки их реализации, объемы финансирования, ожидаемые результаты от реализации мероприятий представлены в приложении 1 к Программе.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IV. Финансовое обеспечение Программы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на 2021 - 2024 годы - 50685,0 тыс. руб., в том числе: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целом по годам: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2021 год - 15553,4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2022 год - 17090,6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2023 год - 9020,5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2024 год - 9020,5 тыс. руб.;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средства бюджета города - 41235 тыс. руб., в том числе по годам: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2021 год - 15103,4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2022 год - 14090,6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2023 год - 6020,5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2024 год - 6020,5 тыс. руб.;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 условиях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с учетом предполагаемых 9450,0 тыс. руб., в том числе по годам: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2021 год - 450,0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2022 год - 3000,0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2023 год - 3000,0 тыс. руб.,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2024 год - 3000,0 тыс. руб.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Программы являются средства бюджета города Курска и средства областного бюджета на условиях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Курска на соответствующий финансовый год и плановый период.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- комитет экономического развития Администрации города Курска в соответствии с государственной </w:t>
      </w:r>
      <w:hyperlink r:id="rId23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Курской области "Развитие экономики и внешних связей Курской области", утвержденной постановлением Администрации Курской области от 24.10.2013 N 774-па (в ред. от 25.09.2020 N 971-па), подготавливает заявку на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мероприятий Программы из областного бюджета для заключения Соглашения между Администрацией города Курска и комитетом промышленности, торговли и предпринимательства Курской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867" w:history="1">
        <w:r w:rsidRPr="00C9034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Программы с указанием главных распорядителей бюджетных сре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иведено в приложении 2 к Программе.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V. Механизм реализации Программы,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исполнитель-координатор Программы.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Исполнителями мероприятий Программы являются: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МКУ "Перспектива";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департамент закупок для муниципальных нужд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управление информации и печати Администрации города Курска.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качество и своевременное исполнение мероприятий, рациональное использование финансовых средств, выделяемых на реализацию Программы в части своих полномочий.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Исполнитель-координатор Программы: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обеспечивает реализацию Программы;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координирует деятельность, направленную на исполнение мероприятий Программы;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выполняет функции исполнителя в части своих полномочий;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запрашивает у исполнителей мероприятий Программы информацию, необходимую для проведения ежеквартального мониторинга, подготовки годовых отчетов и проведения оценки эффективности реализации Программы;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подготавливает отчеты о ходе реализации Программы, проводит оценку эффективности ее реализации за отчетный год и весь период ее реализации;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Программы и внесение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отчетных данных о реализации Программы в Государственной автоматизированной системе "Управление";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несет ответственность за реализацию, конечный результат Программы и достоверность сведений включенных в годовые отчеты;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 учетом выделяемых средств вносит предложения по уточнению затрат на мероприятия Программы, уточняет механизм их реализации, а также вносит в установленном порядке предложения по корректировке Программы либо о досрочном прекращении ее реализации;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исполнительной власти Курской области в целях привлечения финансовых средств из соответствующих бюджетов на реализацию Программы;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мероприятий и целевых показателей, </w:t>
      </w:r>
      <w:hyperlink w:anchor="P935" w:history="1">
        <w:r w:rsidRPr="00C9034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которых представлен в приложении 3 к Программе (ежеквартально, по итогам отчетного года и после завершения реализации), подготавливает отчет за первые три квартала года нарастающим итогом и представляет его курирующему заместителю главы Администрации города Курска до 20-го числа месяца, следующего за отчетным периодом.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целях выявления отклонений хода реализации Программ от запланированных параметров и своевременного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VI. Ожидаемые результаты реализации Программы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устойчивому развитию малого и среднего предпринимательства,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услуг, расширению рынков сбыта продукции курских товаропроизводителей.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получены следующие результаты: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проведено анкетирование 1000 хозяйствующих субъектов малого и среднего предпринимательства с целью выявления существующих проблем их развития;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предоставлены субсидии 52 хозяйствующим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созданы 156 новых рабочих мест получателями субсидий, связанных с организацией и ведением дела;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предоставлены субсидии 9 хозяйствующим субъектам на возмещение части затрат, связанных с продвижением товаров на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сохранение числа субъектов малого и среднего предпринимательства в расчете на 10 тыс. чел. населения ежегодно не менее 483,2 ед.;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обеспечена доля закупок у субъектов малого и среднего предпринимательства и социально ориентированных некоммерческих организаций не менее 15% ежегодно в совокупном годовом объеме закупок, рассчитанном с учетом требований </w:t>
      </w:r>
      <w:hyperlink r:id="rId24" w:history="1">
        <w:r w:rsidRPr="00C90342">
          <w:rPr>
            <w:rFonts w:ascii="Times New Roman" w:hAnsi="Times New Roman" w:cs="Times New Roman"/>
            <w:sz w:val="28"/>
            <w:szCs w:val="28"/>
          </w:rPr>
          <w:t>пункта 1 части 1 статьи 30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закона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предоставлены помещения МКУ "Перспектива" в аренду на льготных условиях 12 субъектам малого и среднего предпринимательства;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наполняемость помещений МКУ "Перспектива" составит не менее 80%;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оказаны 1480 консультативных, информационных услуг МКУ "Перспектива";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проведены 8 экскурсий на предприятия резидентов МКУ "Перспектива" для школьников и студентов;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проведены 12 мероприятий по популяризации предпринимательской деятельности для школьников и студентов учебных заведений города Курска;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организованы 4 показа, презентации продукции предприятий, входящих в состав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Консорциума предприятий легкой промышленности города Курска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обеспечено участие 320 слушателей в обучающих семинарах "Как стать предпринимателем?";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организовано проведение 12 семинаров для субъектов малого и среднего предпринимательства (включая социальные предприятия) по вопросам участия в закупках товаров, работ, услуг в соответствии с Федеральным </w:t>
      </w:r>
      <w:hyperlink r:id="rId25" w:history="1">
        <w:r w:rsidRPr="00C90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привлечены к участию в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>-ярмарочных мероприятиях 1200 хозяйствующих субъектов малого и среднего предпринимательства (включая социальные предприятия);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предоставлено 30 консультативных и информационных услуг по разъяснению условий и порядка получения субъектами малого и среднего предпринимательства статуса "социальное предприятие";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организация и проведение 5 городских конкурсов;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предоставление права льготного размещения оптоволоконного кабеля на опорах наружного освещения ежегодно 5 субъектам малого и среднего предпринимательства, осуществляющим деятельность в сфере телекоммуникационных технологий.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>Исполнитель-координатор Программы проводит оценку эффективности реализации Программы за отчетный год (весь период реализации) в соответствии с методикой, утвержденной в составе Программы (приложение 4 к Программе), после чего направляет годовой отчет о реализации Программы и результаты оценки эффективности реализации Программы на согласование курирующему заместителю главы Администрации города Курска в срок до 1 апреля года, следующего за отчетным.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случае признания реализации Программы со средним или низким уровнем эффективности заместитель главы Администрации города Курска, курирующий вопросы, предлагаемые к решению Программой, подготавливает предложения о принятии мер, направленных на повышение эффективности реализации Программы, либо о досрочном прекращении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и направляет их Главе города Курска в установленном порядке.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5"/>
      <w:bookmarkEnd w:id="2"/>
      <w:r w:rsidRPr="00C90342">
        <w:rPr>
          <w:rFonts w:ascii="Times New Roman" w:hAnsi="Times New Roman" w:cs="Times New Roman"/>
          <w:sz w:val="28"/>
          <w:szCs w:val="28"/>
        </w:rPr>
        <w:t>ПЕРЕЧЕНЬ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МЕРОПРИЯТИЙ МУНИЦИПАЛЬНОЙ ПРОГРАММЫ "РАЗВИТИЕ МАЛОГО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 СРЕДНЕГО ПРЕДПРИНИМАТЕЛЬСТВА В ГОРОДЕ КУРСКЕ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B39" w:rsidRPr="00C90342" w:rsidSect="003F6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9"/>
        <w:gridCol w:w="1417"/>
        <w:gridCol w:w="1247"/>
        <w:gridCol w:w="1057"/>
        <w:gridCol w:w="1077"/>
        <w:gridCol w:w="1058"/>
        <w:gridCol w:w="928"/>
        <w:gridCol w:w="1077"/>
        <w:gridCol w:w="2410"/>
        <w:gridCol w:w="2268"/>
      </w:tblGrid>
      <w:tr w:rsidR="00C90342" w:rsidRPr="00C90342" w:rsidTr="00CD0D2D">
        <w:tc>
          <w:tcPr>
            <w:tcW w:w="567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49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Сумма расходов, всего,</w:t>
            </w:r>
          </w:p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4120" w:type="dxa"/>
            <w:gridSpan w:val="4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в том числе по годам:</w:t>
            </w:r>
          </w:p>
        </w:tc>
        <w:tc>
          <w:tcPr>
            <w:tcW w:w="1077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2268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C90342" w:rsidRPr="00C90342" w:rsidTr="00CD0D2D">
        <w:tc>
          <w:tcPr>
            <w:tcW w:w="56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107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8" w:type="dxa"/>
            <w:gridSpan w:val="10"/>
          </w:tcPr>
          <w:p w:rsidR="00B05B39" w:rsidRPr="00C90342" w:rsidRDefault="00B05B39" w:rsidP="00CD0D2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Цель - содействие развитию малого и среднего предпринимательства в городе Курске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8" w:type="dxa"/>
            <w:gridSpan w:val="10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Анализ, разработка и принятие нормативных правовых актов в целях совершенствования действующей нормативной правовой базы, регулирующей осуществление предпринимательской деятельности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условий для развития малого и среднего предпринимательства, формирование правового поля деятельности субъектов малого и среднего бизнеса (количество разработанных нормативных правовых актов - 8,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- 2)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Привлечение общественных организаций предпринимателей к разработке и экспертизе правовых актов, касающихся осуществления предпринимательской деятельности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Принятие правовых актов с учетом интересов субъектов малого и среднего предпринимательства (количество проведенных заседаний общественно-экспертного совета по вопросам развития предпринимательства в городе Курске - 8,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2021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- 2)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Выявление существующих проблем развития субъектов малого и среднего предпринимательства, определение путей их решения (количество хозяйствующих субъектов малого и среднего предпринимательства - участников анкетирования - 1000,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- 250;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- 250;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- 250;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2024 г. - 250)</w:t>
            </w:r>
            <w:proofErr w:type="gramEnd"/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Мониторинг деятельности субъектов малого и среднего предпринимательства (с подготовкой ежегодного отчета по результатам мониторинга)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Определение тенденций развития малого и среднего предпринимательства в городе (количество подготовленных отчетов по результатам мониторинга - 4,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- 1)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ИТОГО по задаче 1: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8" w:type="dxa"/>
            <w:gridSpan w:val="10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Задача 2. Финансовая и имущественная поддержка субъектов малого и среднего предпринимательства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Отбор субъектов малого и среднего предпринимательства для предоставления субсидии и определение размера субсидий (количество проведенных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предпринимательства, - не менее 8,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не менее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не менее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не менее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не менее 2)</w:t>
            </w:r>
          </w:p>
        </w:tc>
      </w:tr>
      <w:tr w:rsidR="00C90342" w:rsidRPr="00C90342" w:rsidTr="00CD0D2D">
        <w:tc>
          <w:tcPr>
            <w:tcW w:w="567" w:type="dxa"/>
            <w:vMerge w:val="restart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549" w:type="dxa"/>
            <w:vMerge w:val="restart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Предоставление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15250,0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4450,0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4450,0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4450,0</w:t>
            </w:r>
          </w:p>
        </w:tc>
        <w:tc>
          <w:tcPr>
            <w:tcW w:w="1077" w:type="dxa"/>
            <w:vMerge w:val="restart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  <w:vMerge w:val="restart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  <w:vMerge w:val="restart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- 52,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2021 г. - 7;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- 15;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- 15;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2024 г. - 15)</w:t>
            </w:r>
            <w:proofErr w:type="gramEnd"/>
          </w:p>
        </w:tc>
      </w:tr>
      <w:tr w:rsidR="00C90342" w:rsidRPr="00C90342" w:rsidTr="00CD0D2D">
        <w:tc>
          <w:tcPr>
            <w:tcW w:w="56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5800,0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1450,0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1450,0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1450,0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1450,0</w:t>
            </w:r>
          </w:p>
        </w:tc>
        <w:tc>
          <w:tcPr>
            <w:tcW w:w="107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342" w:rsidRPr="00C90342" w:rsidTr="00CD0D2D">
        <w:tc>
          <w:tcPr>
            <w:tcW w:w="56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9450,0 &lt;*&gt;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1077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продвижением товаров на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маркетплейсах</w:t>
            </w:r>
            <w:proofErr w:type="spellEnd"/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- 9,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- 3;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- 3;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- 3)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Ведение Реестра субъектов малого и среднего предпринимательства города Курска - получателей субсидий (с размещением его на сайте Администрации города Курска в информационной телекоммуникационной сети "Интернет")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открытости информации о мерах поддержки субъектов малого и среднего предпринимательства (количество внесений дополнений в Реестр субъектов малого и среднего предпринимательства города Курска - получателей субсидий - 8,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2023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- 2)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Предоставление на конкурсной основе в аренду помещений МКУ "Перспектива" на льготных условиях хозяйствующим субъектам малого, среднего и социального предпринимательства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Обеспечение условий, способствующих расширению деятельности субъектов малого и среднего предпринимательства в приоритетных отраслях экономики (количество субъектов малого и среднего предпринимательства - получателей имущественной поддержки в МКУ "Перспектива" - 12 (по 3 ежегодно).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Наполняемость МКУ "Перспектива" к 2024 году не менее 80%, итого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- 80,0;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- 80,0;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- 80,0;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- 80,0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Предоставление субъектам малого и среднего предпринимательства (включая социальные предприятия) преимущественного права выкупа арендуемого имущества в рамках реализации Федерального </w:t>
            </w:r>
            <w:hyperlink r:id="rId26" w:history="1">
              <w:r w:rsidRPr="00C90342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C90342">
              <w:rPr>
                <w:rFonts w:ascii="Times New Roman" w:hAnsi="Times New Roman" w:cs="Times New Roman"/>
                <w:sz w:val="20"/>
              </w:rPr>
              <w:t xml:space="preserve"> от 22.07.2008 N 159-ФЗ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действующих договоров купли-продажи муниципального имущества: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2021 - 108;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2022 - 78;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2023 - 55;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2024 - 40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Проведение паспортизации инвестиционных площадок города Курска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Обеспечение информацией потенциальных инвесторов о свободных площадках (в рамках проведения инвестиционной политики и создания благоприятного инвестиционного климата на территории города Курска).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Всего 20 площадок,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- 5;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- 5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Предоставление права льготного размещения оптоволоконного кабеля на опорах наружного освещения, субъектам малого и среднего предпринимательства, осуществляющим деятельность в сфере телекоммуникационных технологий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Курска.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 в сфере телекоммуникационных услуг (количество субъектов малого и среднего предпринимательства - 5</w:t>
            </w:r>
            <w:proofErr w:type="gramEnd"/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Предоставление имущества, составляющего казну муниципального образования, субъектам малого и среднего </w:t>
            </w: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предпринимательства, осуществляющим производственную деятельность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следующим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ОКВЭД 14.12 - производство спецодежды.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Без проведения торгов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Обеспечение условий развития малого и среднего предпринимательства.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Сохранение </w:t>
            </w: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действующих производств и рабочих мест - 15 человек ежегодно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ИТОГО по задаче 2: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15700,0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4600,0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8" w:type="dxa"/>
            <w:gridSpan w:val="10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деятельности Консорциума предприятий легкой промышленности города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деятельности Консорциума предприятий легкой промышленности города Курска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и Консорциума IT-предприятий города Вовлечение новых хозяйствующих субъектов в деятельность консорциумов - 8 (по 2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Финансовое обеспечение организации деятельности МКУ "Перспектива"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32475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11503,4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12370,6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4300,5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4300,5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МКУ "Перспектива" консультативных и информационных услуг - 1480,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- 370;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- 370;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- 370;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2024 г. - 370)</w:t>
            </w:r>
            <w:proofErr w:type="gramEnd"/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Проведение экскурсий для школьников и студентов на предприятиях резидентов МКУ "Перспектива"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экскурсий для школьников и студентов на предприятия резидентов МКУ "Перспектива" - 8 (по 2 -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Популяризация предпринимательской деятельности среди школьников и студентов города Курска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проведенных мероприятий для школьников и студентов - 12 (по 3 -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Организация проведения показов, презентаций продукции предприятий, входящих в состав Консорциума предприятий легкой промышленности города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 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проведенных показов, презентаций продукции предприятий, входящих в состав Консорциума предприятий легкой промышленности города Курска - 4 (по 1 ежегодно).</w:t>
            </w:r>
          </w:p>
        </w:tc>
      </w:tr>
      <w:tr w:rsidR="00C90342" w:rsidRPr="00C90342" w:rsidTr="00CD0D2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254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"социальное предприятие", возможности получения социальными предприятиями комплексных услуг АНО "Центр "Мой бизнес" Курской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2022 - 2024 гг.</w:t>
            </w:r>
          </w:p>
        </w:tc>
        <w:tc>
          <w:tcPr>
            <w:tcW w:w="2410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предоставленных МКУ "Перспектива" консультативных и информационных услуг по разъяснению условий и порядка получения субъектами малого и среднего предпринимательства статуса "социальное предприятие" - 30,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- 10;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- 10;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- 10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ИТОГО по задаче 3: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32475,0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11503,4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12370,6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4300,5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4300,5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8" w:type="dxa"/>
            <w:gridSpan w:val="10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Задача 4. Информационная поддержка субъектов малого и среднего предпринимательства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Организация проведения на регулярной основе обучающих семинаров "Как стать предпринимателем?"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Повышение уровня знаний об основах предпринимательской деятельности, повышение профессиональной грамотности (количество слушателей семинаров - 320,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  <w:proofErr w:type="gramEnd"/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- 80;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- 80;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- 80;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2024 г. - 80)</w:t>
            </w:r>
            <w:proofErr w:type="gramEnd"/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 xml:space="preserve">Разработка и реализация мероприятий, направленных на обучение субъектов малого и среднего предпринимательства (включая социальные предприятия) особенностям участия в закупках товаров, работ, услуг для нужд государственного сектора экономики - реализация образовательных мероприятий для субъектов малого, среднего и социального предпринимательства по вопросам участия в закупках товаров, работ, услуг в соответствии с </w:t>
            </w: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Федеральным </w:t>
            </w:r>
            <w:hyperlink r:id="rId27" w:history="1">
              <w:r w:rsidRPr="00C90342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90342">
              <w:rPr>
                <w:rFonts w:ascii="Times New Roman" w:hAnsi="Times New Roman" w:cs="Times New Roman"/>
                <w:sz w:val="20"/>
              </w:rPr>
              <w:t xml:space="preserve"> от 05.04.2013 N 44-ФЗ "О контрактной системе в сфере закупок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товаров, работ, услуг для обеспечения государственных и муниципальных нужд" и Федеральным </w:t>
            </w:r>
            <w:hyperlink r:id="rId28" w:history="1">
              <w:r w:rsidRPr="00C90342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90342">
              <w:rPr>
                <w:rFonts w:ascii="Times New Roman" w:hAnsi="Times New Roman" w:cs="Times New Roman"/>
                <w:sz w:val="20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Курска, 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Повышение уровня знаний об особенностях участия в закупках товаров, работ, услуг для нужд государственного сектора экономики (проведение семинаров для субъектов малого и среднего предпринимательства - 12, по 3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Организация проведения семинаров для предпринимателей Консорциумом IT-предприятий города Курска,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для популяризации программных продуктов отечественного производства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проведенных семинаров для предпринимателей Консорциумом IT-предприятий города Курска - 12 (по 3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Размещение информационных материалов, связанных с деятельностью малого, среднего предпринимательства (включая социальные предприятия), МКУ "Перспектива" в муниципальной газете "Городские известия", на сайтах Администрации города Курска, МКУ "Перспектива" и иных СМИ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 управление информации и печати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размещенных материалов о деятельности малого и среднего предпринимательства - 94,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- 22;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- 23;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- 24;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- 25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4.5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Размещение на сайте МКУ "Перспектива" информации о деятельности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размещенных материалов о деятельности Консорциумов на сайте МКУ "Перспектива" - 8 (по 2 ежегодно)</w:t>
            </w:r>
          </w:p>
        </w:tc>
      </w:tr>
      <w:tr w:rsidR="00C90342" w:rsidRPr="00C90342" w:rsidTr="00CD0D2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254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Организация и проведение городских конкурсов, профессиональных праздников, культурно-массовых мероприятий, форумов и фестивалей с участием субъектов малого и среднего предпринимательства (включая социальные предприятия)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4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5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7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 управление делами Администрации города Курска, МКУ "Перспектива"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проведенных городских конкурсов, профессиональных праздников, форумов и фестивалей с участием субъектов малого и среднего предпринимательства - 5,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- 2;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- 1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популяризацию малого и среднего предпринимательства </w:t>
            </w: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(включая социальные предприятия) путем организации и проведения городских конференций, "Круглых столов", семинаров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 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проведенных мероприятий - 12 (по 3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участия Консорциума предприятий легкой промышленности города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 в научно-практических конференциях по отраслевой принадлежности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 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Количество научно-практических конференций в области IT- технологий, в которых примет участие области Консорциум IT-предприятий города Курска IT - 8 (по 2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Привлечение субъектов малого и среднего предпринимательства (включая социальные предприятия) к участию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-ярмарочных мероприятиях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 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хозяйствующих субъектов малого и среднего бизнеса, привлеченных к участию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 xml:space="preserve">-ярмарочных мероприятиях, - 1200,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- 300;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- 300;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2023 г. - 300;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2024 г. - 300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4.10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Обеспечение участия в выставках-ярмарках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выставок-ярмарок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 xml:space="preserve"> в которых примет участие Консорциум предприятий легкой промышленности города Курска и Консорциум IT-предприятий города Курска - 4 (по 1 ежегодно)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Защита Реестра субъектов малого и среднего предпринимательства города Курска - получателей субсидий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Управление делами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Обеспечение информационной 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защищенности информационных ресурсов сайта Администрации города Курска</w:t>
            </w:r>
            <w:proofErr w:type="gramEnd"/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Размещение информац</w:t>
            </w:r>
            <w:proofErr w:type="gramStart"/>
            <w:r w:rsidRPr="00C90342">
              <w:rPr>
                <w:rFonts w:ascii="Times New Roman" w:hAnsi="Times New Roman" w:cs="Times New Roman"/>
                <w:sz w:val="20"/>
              </w:rPr>
              <w:t>ии о Е</w:t>
            </w:r>
            <w:proofErr w:type="gramEnd"/>
            <w:r w:rsidRPr="00C90342">
              <w:rPr>
                <w:rFonts w:ascii="Times New Roman" w:hAnsi="Times New Roman" w:cs="Times New Roman"/>
                <w:sz w:val="20"/>
              </w:rPr>
              <w:t>дином реестре российских программ для электронных вычислительных машин и баз данных на официальном сайте Администрации города Курска и МКУ "Перспектива"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Количество материалов, размещенных на официальном сайте Администрации города Курска и МКУ "Перспектива", - 4,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2022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2023 г. - 1;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2024 г. - 1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lastRenderedPageBreak/>
              <w:t>4.13</w:t>
            </w: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2360,0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МКУ "Перспектива",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комитет экономического развития Администрации города Курска</w:t>
            </w: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Создание цифровой платформы для взаимодействия субъектов малого и среднего предпринимательства, органов муниципальной власти, предприятий промышленности и др. - 1, в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90342">
              <w:rPr>
                <w:rFonts w:ascii="Times New Roman" w:hAnsi="Times New Roman" w:cs="Times New Roman"/>
                <w:sz w:val="20"/>
              </w:rPr>
              <w:t>. в 2021 г. - 1.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Обеспечение работы цифровой платформы для взаимодействия субъектов малого и среднего предпринимательства, органов муниципальной власти, предприятий промышленности и др. в 2022 - 2024 гг.</w:t>
            </w:r>
          </w:p>
        </w:tc>
      </w:tr>
      <w:tr w:rsidR="00C90342" w:rsidRPr="00C90342" w:rsidTr="00CD0D2D">
        <w:tc>
          <w:tcPr>
            <w:tcW w:w="567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ИТОГО по задаче 4: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2510,0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2150,0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42" w:rsidRPr="00C90342" w:rsidTr="00CD0D2D">
        <w:tc>
          <w:tcPr>
            <w:tcW w:w="3116" w:type="dxa"/>
            <w:gridSpan w:val="2"/>
          </w:tcPr>
          <w:p w:rsidR="00B05B39" w:rsidRPr="00C90342" w:rsidRDefault="00B05B39" w:rsidP="00CD0D2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50685,0</w:t>
            </w:r>
          </w:p>
        </w:tc>
        <w:tc>
          <w:tcPr>
            <w:tcW w:w="105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15553,4</w:t>
            </w:r>
          </w:p>
        </w:tc>
        <w:tc>
          <w:tcPr>
            <w:tcW w:w="107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17090,6</w:t>
            </w:r>
          </w:p>
        </w:tc>
        <w:tc>
          <w:tcPr>
            <w:tcW w:w="105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9020,5</w:t>
            </w:r>
          </w:p>
        </w:tc>
        <w:tc>
          <w:tcPr>
            <w:tcW w:w="92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9020,5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342" w:rsidRPr="00C90342" w:rsidTr="00CD0D2D">
        <w:tc>
          <w:tcPr>
            <w:tcW w:w="3116" w:type="dxa"/>
            <w:gridSpan w:val="2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 xml:space="preserve">прогнозируемые средства областного бюджета на условиях </w:t>
            </w:r>
            <w:proofErr w:type="spellStart"/>
            <w:r w:rsidRPr="00C90342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9450,0 &lt;*&gt;</w:t>
            </w:r>
          </w:p>
        </w:tc>
        <w:tc>
          <w:tcPr>
            <w:tcW w:w="105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105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92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342">
              <w:rPr>
                <w:rFonts w:ascii="Times New Roman" w:hAnsi="Times New Roman" w:cs="Times New Roman"/>
                <w:sz w:val="20"/>
              </w:rPr>
              <w:t>3000,0 &lt;*&gt;</w:t>
            </w:r>
          </w:p>
        </w:tc>
        <w:tc>
          <w:tcPr>
            <w:tcW w:w="1077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B39" w:rsidRPr="00C90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&lt;*&gt; Прогнозируемые средства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из областного и федерального бюджетов в рамках реализации государственной </w:t>
      </w:r>
      <w:hyperlink r:id="rId29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Курской области "Развитие экономики и внешних связей Курской области", утвержденной постановлением Администрации Курской области от 24.10.2013 N 774-па.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7"/>
      <w:bookmarkEnd w:id="3"/>
      <w:r w:rsidRPr="00C90342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МУНИЦИПАЛЬНОЙ ПРОГРАММЫ "РАЗВИТИЕ МАЛОГО И СРЕДНЕГО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 НА 2021 - 2024 ГОДЫ"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(тыс. руб.)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0"/>
        <w:gridCol w:w="1418"/>
        <w:gridCol w:w="1361"/>
        <w:gridCol w:w="1417"/>
        <w:gridCol w:w="1326"/>
      </w:tblGrid>
      <w:tr w:rsidR="00C90342" w:rsidRPr="00C90342">
        <w:tc>
          <w:tcPr>
            <w:tcW w:w="3685" w:type="dxa"/>
            <w:vMerge w:val="restart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522" w:type="dxa"/>
            <w:gridSpan w:val="4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C90342" w:rsidRPr="00C90342">
        <w:tc>
          <w:tcPr>
            <w:tcW w:w="3685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361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326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90342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700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50685,0</w:t>
            </w:r>
          </w:p>
        </w:tc>
        <w:tc>
          <w:tcPr>
            <w:tcW w:w="141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15553,4</w:t>
            </w:r>
          </w:p>
        </w:tc>
        <w:tc>
          <w:tcPr>
            <w:tcW w:w="1361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17090,6</w:t>
            </w:r>
          </w:p>
        </w:tc>
        <w:tc>
          <w:tcPr>
            <w:tcW w:w="141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9020,5</w:t>
            </w:r>
          </w:p>
        </w:tc>
        <w:tc>
          <w:tcPr>
            <w:tcW w:w="1326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9020,5</w:t>
            </w:r>
          </w:p>
        </w:tc>
      </w:tr>
      <w:tr w:rsidR="00C90342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главных распорядителей средств бюджета города Курска (ГРБС), ответственных за реализацию муниципальной программы: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700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50685,0</w:t>
            </w:r>
          </w:p>
        </w:tc>
        <w:tc>
          <w:tcPr>
            <w:tcW w:w="141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15553,4</w:t>
            </w:r>
          </w:p>
        </w:tc>
        <w:tc>
          <w:tcPr>
            <w:tcW w:w="1361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17090,6</w:t>
            </w:r>
          </w:p>
        </w:tc>
        <w:tc>
          <w:tcPr>
            <w:tcW w:w="141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9020,5</w:t>
            </w:r>
          </w:p>
        </w:tc>
        <w:tc>
          <w:tcPr>
            <w:tcW w:w="1326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9020,5</w:t>
            </w:r>
          </w:p>
        </w:tc>
      </w:tr>
      <w:tr w:rsidR="00C90342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 - всего по программе</w:t>
            </w:r>
          </w:p>
        </w:tc>
        <w:tc>
          <w:tcPr>
            <w:tcW w:w="1700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41235,0</w:t>
            </w:r>
          </w:p>
        </w:tc>
        <w:tc>
          <w:tcPr>
            <w:tcW w:w="141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15103,4</w:t>
            </w:r>
          </w:p>
        </w:tc>
        <w:tc>
          <w:tcPr>
            <w:tcW w:w="1361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14090,6</w:t>
            </w:r>
          </w:p>
        </w:tc>
        <w:tc>
          <w:tcPr>
            <w:tcW w:w="141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6020,5</w:t>
            </w:r>
          </w:p>
        </w:tc>
        <w:tc>
          <w:tcPr>
            <w:tcW w:w="1326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6020,5</w:t>
            </w:r>
          </w:p>
        </w:tc>
      </w:tr>
      <w:tr w:rsidR="00C90342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главных распорядителей средств бюджета города Курска (ГРБС), ответственных за реализацию муниципальной программы: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700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41235,0</w:t>
            </w:r>
          </w:p>
        </w:tc>
        <w:tc>
          <w:tcPr>
            <w:tcW w:w="141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15103,4</w:t>
            </w:r>
          </w:p>
        </w:tc>
        <w:tc>
          <w:tcPr>
            <w:tcW w:w="1361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14090,6</w:t>
            </w:r>
          </w:p>
        </w:tc>
        <w:tc>
          <w:tcPr>
            <w:tcW w:w="141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6020,5</w:t>
            </w:r>
          </w:p>
        </w:tc>
        <w:tc>
          <w:tcPr>
            <w:tcW w:w="1326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6020,5</w:t>
            </w:r>
          </w:p>
        </w:tc>
      </w:tr>
      <w:tr w:rsidR="00C90342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 </w:t>
            </w: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бюджеты - всего по программе</w:t>
            </w:r>
          </w:p>
        </w:tc>
        <w:tc>
          <w:tcPr>
            <w:tcW w:w="170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9450,0</w:t>
            </w:r>
          </w:p>
        </w:tc>
        <w:tc>
          <w:tcPr>
            <w:tcW w:w="1418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361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3000,0 &lt;*&gt;</w:t>
            </w:r>
          </w:p>
        </w:tc>
        <w:tc>
          <w:tcPr>
            <w:tcW w:w="1417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3000,0 &lt;*&gt;</w:t>
            </w:r>
          </w:p>
        </w:tc>
        <w:tc>
          <w:tcPr>
            <w:tcW w:w="1326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3000,0 &lt;*&gt;</w:t>
            </w:r>
          </w:p>
        </w:tc>
      </w:tr>
      <w:tr w:rsidR="00B05B39" w:rsidRPr="00C90342">
        <w:tc>
          <w:tcPr>
            <w:tcW w:w="3685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разрезе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главных распорядителей средств бюджета города Курска (ГРБС), ответственных за реализацию муниципальной программы:</w:t>
            </w:r>
          </w:p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700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9450,0</w:t>
            </w:r>
          </w:p>
        </w:tc>
        <w:tc>
          <w:tcPr>
            <w:tcW w:w="1418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361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3000,0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417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3000,0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326" w:type="dxa"/>
            <w:vAlign w:val="bottom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3000,0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</w:tr>
    </w:tbl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&lt;*&gt; Прогнозируемые средства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из областного и федерального бюджетов в рамках реализации государственной </w:t>
      </w:r>
      <w:hyperlink r:id="rId30" w:history="1">
        <w:r w:rsidRPr="00C903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90342">
        <w:rPr>
          <w:rFonts w:ascii="Times New Roman" w:hAnsi="Times New Roman" w:cs="Times New Roman"/>
          <w:sz w:val="28"/>
          <w:szCs w:val="28"/>
        </w:rPr>
        <w:t xml:space="preserve"> Курской области "Развитие экономики и внешних связей Курской области", утвержденной постановлением Администрации Курской области от 24.10.2013 N 774-па.</w:t>
      </w:r>
      <w:proofErr w:type="gramEnd"/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35"/>
      <w:bookmarkEnd w:id="4"/>
      <w:r w:rsidRPr="00C9034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МУНИЦИПАЛЬНОЙ ПРОГРАММЫ "РАЗВИТИЕ МАЛОГО И СРЕДНЕГО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 НА 2021 - 2024 ГОДЫ"</w:t>
      </w:r>
    </w:p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852"/>
        <w:gridCol w:w="1559"/>
        <w:gridCol w:w="964"/>
        <w:gridCol w:w="1020"/>
        <w:gridCol w:w="1020"/>
        <w:gridCol w:w="964"/>
        <w:gridCol w:w="1629"/>
      </w:tblGrid>
      <w:tr w:rsidR="00C90342" w:rsidRPr="00C90342">
        <w:tc>
          <w:tcPr>
            <w:tcW w:w="709" w:type="dxa"/>
            <w:vMerge w:val="restart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vMerge w:val="restart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156" w:type="dxa"/>
            <w:gridSpan w:val="6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C90342" w:rsidRPr="00C90342">
        <w:tc>
          <w:tcPr>
            <w:tcW w:w="709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B05B39" w:rsidRPr="00C90342" w:rsidRDefault="00B05B39" w:rsidP="00CD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964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20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20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64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629" w:type="dxa"/>
            <w:vAlign w:val="center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C90342" w:rsidRPr="00C90342">
        <w:tc>
          <w:tcPr>
            <w:tcW w:w="11608" w:type="dxa"/>
            <w:gridSpan w:val="9"/>
          </w:tcPr>
          <w:p w:rsidR="00B05B39" w:rsidRPr="00C90342" w:rsidRDefault="00B05B39" w:rsidP="00CD0D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Цель. Содействие развитию малого и среднего предпринимательства в городе Курске</w:t>
            </w:r>
          </w:p>
        </w:tc>
      </w:tr>
      <w:tr w:rsidR="00C90342" w:rsidRPr="00C90342">
        <w:tc>
          <w:tcPr>
            <w:tcW w:w="11608" w:type="dxa"/>
            <w:gridSpan w:val="9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 малого и среднего предпринимательства - участников анкетирования по проблемам, сдерживающим развитие малого и среднего предпринимательства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90342" w:rsidRPr="00C90342">
        <w:tc>
          <w:tcPr>
            <w:tcW w:w="11608" w:type="dxa"/>
            <w:gridSpan w:val="9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Задача 2 Финансовая и имущественная поддержка субъектов малого и среднего предпринимательства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начинающих собственный бизнес, - получателей субсидий, на субсидирование части затрат, связанных с организацией и ведением дела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получателями субсидий, связанных с организацией и ведением дела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 - получателей субсидий на возмещение части затрат, связанных с продвижением товаров на </w:t>
            </w:r>
            <w:proofErr w:type="spell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маркетплейсах</w:t>
            </w:r>
            <w:proofErr w:type="spellEnd"/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в расчете на 10 тыс. чел. населения ежегодно не менее 483,2 ед.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на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тыс. чел.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483,2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483,2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483,2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483,2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483,2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483,2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39,47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39,49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39,51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39,53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39,55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- получателей имущественной поддержки в МКУ "Перспектива"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Наполняемость помещений МКУ "Перспектива"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осуществляющих деятельность в сфере телекоммуникационных технологий, получателей имущественной поддержки в виде права льготного размещения оптоволоконного кабеля на опорах наружного освещения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342" w:rsidRPr="00C90342">
        <w:tc>
          <w:tcPr>
            <w:tcW w:w="11608" w:type="dxa"/>
            <w:gridSpan w:val="9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консультативных, информационных услуг, предоставленных МКУ "Перспектива"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экскурсий для школьников и студентов на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резидентов МКУ "Перспектива"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3. 3.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популяризации предпринимательской деятельности для школьников и студентов города Курска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показов, презентаций продукции предприятий, входящих в состав </w:t>
            </w: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Консорциума предприятий легкой промышленности города Курска</w:t>
            </w:r>
            <w:proofErr w:type="gramEnd"/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342" w:rsidRPr="00C90342">
        <w:tc>
          <w:tcPr>
            <w:tcW w:w="11608" w:type="dxa"/>
            <w:gridSpan w:val="9"/>
          </w:tcPr>
          <w:p w:rsidR="00B05B39" w:rsidRPr="00C90342" w:rsidRDefault="00B05B39" w:rsidP="00CD0D2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Задача 4. Информационная поддержка субъектов малого и среднего предпринимательства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слушателей семинара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"Как стать предпринимателем?"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 для субъектов малого и среднего предпринимательства (включая социальные предприятия) по вопросам участия в закупках товаров, работ, услуг в соответствии с Федеральным </w:t>
            </w:r>
            <w:hyperlink r:id="rId31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r:id="rId32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от 18.07.2011 N 223-ФЗ "О закупках товаров, работ, услуг отдельными видами 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лиц"</w:t>
            </w:r>
            <w:proofErr w:type="gramEnd"/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Доля закупок у субъектов малого и среднего предпринимательства и социально ориентированных некоммерческих организаций (не менее 15%) в совокупном годовом объеме закупок, рассчитанном с учетом требований </w:t>
            </w:r>
            <w:hyperlink r:id="rId33" w:history="1">
              <w:r w:rsidRPr="00C90342">
                <w:rPr>
                  <w:rFonts w:ascii="Times New Roman" w:hAnsi="Times New Roman" w:cs="Times New Roman"/>
                  <w:sz w:val="28"/>
                  <w:szCs w:val="28"/>
                </w:rPr>
                <w:t>части 1 (1) ст. 30</w:t>
              </w:r>
            </w:hyperlink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 для предпринимателей Консорциумом IT-</w:t>
            </w: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города Курска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0342" w:rsidRPr="00C90342">
        <w:tc>
          <w:tcPr>
            <w:tcW w:w="709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2891" w:type="dxa"/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хозяйствующих субъектов малого и среднего предпринимательства (включая социальные предприятия), привлеченных к участию в </w:t>
            </w:r>
            <w:proofErr w:type="spellStart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852" w:type="dxa"/>
          </w:tcPr>
          <w:p w:rsidR="00B05B39" w:rsidRPr="00C90342" w:rsidRDefault="00B05B39" w:rsidP="00CD0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0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64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29" w:type="dxa"/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90342" w:rsidRPr="00C9034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2891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городских конкурсов</w:t>
            </w:r>
          </w:p>
        </w:tc>
        <w:tc>
          <w:tcPr>
            <w:tcW w:w="852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bottom w:val="nil"/>
            </w:tcBorders>
          </w:tcPr>
          <w:p w:rsidR="00B05B39" w:rsidRPr="00C90342" w:rsidRDefault="00B05B39" w:rsidP="00CD0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342" w:rsidRPr="00C90342">
        <w:tblPrEx>
          <w:tblBorders>
            <w:insideH w:val="nil"/>
          </w:tblBorders>
        </w:tblPrEx>
        <w:tc>
          <w:tcPr>
            <w:tcW w:w="11608" w:type="dxa"/>
            <w:gridSpan w:val="9"/>
            <w:tcBorders>
              <w:top w:val="nil"/>
            </w:tcBorders>
          </w:tcPr>
          <w:p w:rsidR="00B05B39" w:rsidRPr="00C90342" w:rsidRDefault="00B05B39" w:rsidP="00CD0D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B39" w:rsidRPr="00C90342" w:rsidRDefault="00B05B39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B39" w:rsidRPr="00C90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B39" w:rsidRPr="00C90342" w:rsidRDefault="00B05B39" w:rsidP="00CD0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предпринимательства в городе Курске</w:t>
      </w:r>
    </w:p>
    <w:p w:rsidR="00B05B39" w:rsidRPr="00C90342" w:rsidRDefault="00B05B39" w:rsidP="00CD0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МЕТОДИКА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B05B39" w:rsidRPr="00C90342" w:rsidRDefault="00B05B39" w:rsidP="00CD0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В ГОРОДА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КУРСКЕ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НА 2021 - 2024 ГОДЫ"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- комитетом экономического развития Администрации города Курска ежегодно в течение всего срока ее реализации и за весь период реализации Программы.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2. Источниками информации для проведения оценки эффективности являются отчеты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комитета экономического развития Администрации города Курска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и МКУ "Курский городской бизнес-инкубатор "Перспектива", департамента закупок для муниципальных нужд города Курска, комитета по управлению муниципальным имуществом города Курска, управления делами Администрации города Курска.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3.1. Достижение цели и решения задач программы.</w:t>
      </w:r>
    </w:p>
    <w:p w:rsidR="00B05B39" w:rsidRPr="00C90342" w:rsidRDefault="00B05B39" w:rsidP="00CD0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Оценка степени достижения целей (цели) и решения задач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- степень достижения целей (цели) и решения задач;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целевого показателя в отчетном периоде;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90342">
        <w:rPr>
          <w:rFonts w:ascii="Times New Roman" w:hAnsi="Times New Roman" w:cs="Times New Roman"/>
          <w:sz w:val="28"/>
          <w:szCs w:val="28"/>
        </w:rPr>
        <w:t xml:space="preserve"> - порядковый номер целевого показателя.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И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превышает 1, для расчета среднего значения достижения запланированных целевых показателей данное отношение принимается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Среднее значение достижения запланированных целевых показателей определяется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C90342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position w:val="-7"/>
          <w:sz w:val="28"/>
          <w:szCs w:val="28"/>
        </w:rPr>
        <w:pict>
          <v:shape id="_x0000_i1025" style="width:63.75pt;height:18pt" coordsize="" o:spt="100" adj="0,,0" path="" filled="f" stroked="f">
            <v:stroke joinstyle="miter"/>
            <v:imagedata r:id="rId34" o:title="base_23969_98814_32768"/>
            <v:formulas/>
            <v:path o:connecttype="segments"/>
          </v:shape>
        </w:pict>
      </w:r>
      <w:r w:rsidR="00B05B39" w:rsidRPr="00C90342">
        <w:rPr>
          <w:rFonts w:ascii="Times New Roman" w:hAnsi="Times New Roman" w:cs="Times New Roman"/>
          <w:sz w:val="28"/>
          <w:szCs w:val="28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 - среднее значение достижения запланированных целевых показателей Программы за отчетный период;</w:t>
      </w:r>
    </w:p>
    <w:p w:rsidR="00B05B39" w:rsidRPr="00C90342" w:rsidRDefault="00C90342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position w:val="-7"/>
          <w:sz w:val="28"/>
          <w:szCs w:val="28"/>
        </w:rPr>
        <w:pict>
          <v:shape id="_x0000_i1026" style="width:23.25pt;height:18pt" coordsize="" o:spt="100" adj="0,,0" path="" filled="f" stroked="f">
            <v:stroke joinstyle="miter"/>
            <v:imagedata r:id="rId35" o:title="base_23969_98814_32769"/>
            <v:formulas/>
            <v:path o:connecttype="segments"/>
          </v:shape>
        </w:pict>
      </w:r>
      <w:r w:rsidR="00B05B39" w:rsidRPr="00C90342">
        <w:rPr>
          <w:rFonts w:ascii="Times New Roman" w:hAnsi="Times New Roman" w:cs="Times New Roman"/>
          <w:sz w:val="28"/>
          <w:szCs w:val="28"/>
        </w:rPr>
        <w:t xml:space="preserve"> - сумма оценок достижения плановых значений целевых показателей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N - количество целевых показателей Программы, подлежащих выполнению в отчетном периоде.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Степень реализации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к его запланированному значению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= М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903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- показатель степени выполнения мероприятия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90342">
        <w:rPr>
          <w:rFonts w:ascii="Times New Roman" w:hAnsi="Times New Roman" w:cs="Times New Roman"/>
          <w:sz w:val="28"/>
          <w:szCs w:val="28"/>
        </w:rPr>
        <w:t xml:space="preserve"> - фактически полученный результат по мероприятию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- ожидаемый результат по мероприятию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90342">
        <w:rPr>
          <w:rFonts w:ascii="Times New Roman" w:hAnsi="Times New Roman" w:cs="Times New Roman"/>
          <w:sz w:val="28"/>
          <w:szCs w:val="28"/>
        </w:rPr>
        <w:t xml:space="preserve"> - порядковый номер мероприятия.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М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превышает 1, для расчета среднего значения достижения запланированных мероприятий данное отношение принимается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Расчет среднего показателя степени реализации запланированных мероприятий за отчетный период определяется как отношение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к их количеству и определяется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C90342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position w:val="-8"/>
          <w:sz w:val="28"/>
          <w:szCs w:val="28"/>
        </w:rPr>
        <w:pict>
          <v:shape id="_x0000_i1027" style="width:68.25pt;height:19.5pt" coordsize="" o:spt="100" adj="0,,0" path="" filled="f" stroked="f">
            <v:stroke joinstyle="miter"/>
            <v:imagedata r:id="rId36" o:title="base_23969_98814_32770"/>
            <v:formulas/>
            <v:path o:connecttype="segments"/>
          </v:shape>
        </w:pict>
      </w:r>
      <w:r w:rsidR="00B05B39" w:rsidRPr="00C90342">
        <w:rPr>
          <w:rFonts w:ascii="Times New Roman" w:hAnsi="Times New Roman" w:cs="Times New Roman"/>
          <w:sz w:val="28"/>
          <w:szCs w:val="28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 - средний показатель степени выполнения запланированных мероприятий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Программы за отчетный период;</w:t>
      </w:r>
    </w:p>
    <w:p w:rsidR="00B05B39" w:rsidRPr="00C90342" w:rsidRDefault="00C90342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position w:val="-8"/>
          <w:sz w:val="28"/>
          <w:szCs w:val="28"/>
        </w:rPr>
        <w:pict>
          <v:shape id="_x0000_i1028" style="width:25.5pt;height:19.5pt" coordsize="" o:spt="100" adj="0,,0" path="" filled="f" stroked="f">
            <v:stroke joinstyle="miter"/>
            <v:imagedata r:id="rId37" o:title="base_23969_98814_32771"/>
            <v:formulas/>
            <v:path o:connecttype="segments"/>
          </v:shape>
        </w:pict>
      </w:r>
      <w:r w:rsidR="00B05B39" w:rsidRPr="00C90342">
        <w:rPr>
          <w:rFonts w:ascii="Times New Roman" w:hAnsi="Times New Roman" w:cs="Times New Roman"/>
          <w:sz w:val="28"/>
          <w:szCs w:val="28"/>
        </w:rPr>
        <w:t xml:space="preserve"> - сумма </w:t>
      </w:r>
      <w:proofErr w:type="gramStart"/>
      <w:r w:rsidR="00B05B39" w:rsidRPr="00C90342">
        <w:rPr>
          <w:rFonts w:ascii="Times New Roman" w:hAnsi="Times New Roman" w:cs="Times New Roman"/>
          <w:sz w:val="28"/>
          <w:szCs w:val="28"/>
        </w:rPr>
        <w:t>оценок степени выполнения запланированных мероприятий Программы</w:t>
      </w:r>
      <w:proofErr w:type="gramEnd"/>
      <w:r w:rsidR="00B05B39" w:rsidRPr="00C90342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мероприятий Программы, подлежащих выполнению в отчетном периоде.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3.3. Соответствие объемов фактического финансирования запланированным объемам.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объемов фактического финансирования запланированным объемам за отчетный период проводится путем </w:t>
      </w:r>
      <w:r w:rsidRPr="00C90342">
        <w:rPr>
          <w:rFonts w:ascii="Times New Roman" w:hAnsi="Times New Roman" w:cs="Times New Roman"/>
          <w:sz w:val="28"/>
          <w:szCs w:val="28"/>
        </w:rPr>
        <w:lastRenderedPageBreak/>
        <w:t>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Ф =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Ф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Ф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Ф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342">
        <w:rPr>
          <w:rFonts w:ascii="Times New Roman" w:hAnsi="Times New Roman" w:cs="Times New Roman"/>
          <w:sz w:val="28"/>
          <w:szCs w:val="28"/>
        </w:rPr>
        <w:t>Ф</w:t>
      </w:r>
      <w:r w:rsidRPr="00C903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90342">
        <w:rPr>
          <w:rFonts w:ascii="Times New Roman" w:hAnsi="Times New Roman" w:cs="Times New Roman"/>
          <w:sz w:val="28"/>
          <w:szCs w:val="28"/>
        </w:rPr>
        <w:t xml:space="preserve"> - запланированный объем финансирования.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4. При проведении Оценки определяется показатель эффективности использования финансовых средств, как отношение степени реализации запланированных мероприятий к степени соответствия объемов фактического финансирования запланированным объемам: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Э = М / Ф,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Э - показатель эффективности использования финансовых сре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ограммы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М - среднее значение степени выполнения запланированных мероприятий Программы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5. Показатель эффективности реализации Программы определяется как произведение степени достижения целей (цели) и решения задач и показателя эффективности использования финансовых средств по следующей формуле: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П = И x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>,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где: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3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- показатель эффективности реализации Программы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И - степени достижения целей (цели) и решения задач за отчетный период;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Э - показатель эффективности использования финансовых средств в отчетном периоде.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6. Вывод об эффективности реализации Программы формируется на основании значений П.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>Реализация Программы признается: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C903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342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B05B39" w:rsidRPr="00C90342" w:rsidRDefault="00B05B39" w:rsidP="00CD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42">
        <w:rPr>
          <w:rFonts w:ascii="Times New Roman" w:hAnsi="Times New Roman" w:cs="Times New Roman"/>
          <w:sz w:val="28"/>
          <w:szCs w:val="28"/>
        </w:rPr>
        <w:lastRenderedPageBreak/>
        <w:t>В остальных случаях реализация муниципальной программы признается с низким уровнем эффективности.</w:t>
      </w: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39" w:rsidRPr="00C90342" w:rsidRDefault="00B05B39" w:rsidP="00CD0D2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545D" w:rsidRPr="00C90342" w:rsidRDefault="00CF545D" w:rsidP="00CD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C90342" w:rsidSect="00AF2E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9"/>
    <w:rsid w:val="002569CE"/>
    <w:rsid w:val="00761C53"/>
    <w:rsid w:val="00B05B39"/>
    <w:rsid w:val="00C90342"/>
    <w:rsid w:val="00CD0D2D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AEA7E277F347D195EEA4AE07366C5C7D2AC133277EEF736D545D925F74E222C0FCBC264C98B4A53398AFB9607BDD1109FE79AC558A953D52C85yFw2H" TargetMode="External"/><Relationship Id="rId13" Type="http://schemas.openxmlformats.org/officeDocument/2006/relationships/hyperlink" Target="consultantplus://offline/ref=5EBAEA7E277F347D195EF447F61F3CC9C3D1FA173979E4A8638A1E8472FE44757940CA8C20CD944A502788FE9Fy5w1H" TargetMode="External"/><Relationship Id="rId18" Type="http://schemas.openxmlformats.org/officeDocument/2006/relationships/hyperlink" Target="consultantplus://offline/ref=5EBAEA7E277F347D195EF447F61F3CC9C2D0F6183279E4A8638A1E8472FE44756B40928020C48A4B5332DEAFD906E1954C8CE790C55AAA4FyDw5H" TargetMode="External"/><Relationship Id="rId26" Type="http://schemas.openxmlformats.org/officeDocument/2006/relationships/hyperlink" Target="consultantplus://offline/ref=5EBAEA7E277F347D195EF447F61F3CC9C3DCF61B397CE4A8638A1E8472FE44757940CA8C20CD944A502788FE9Fy5w1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BAEA7E277F347D195EF447F61F3CC9C3D1FA173979E4A8638A1E8472FE44757940CA8C20CD944A502788FE9Fy5w1H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5EBAEA7E277F347D195EEA4AE07366C5C7D2AC133279EAF739D545D925F74E222C0FCBC264C98B4A53398AFB9607BDD1109FE79AC558A953D52C85yFw2H" TargetMode="External"/><Relationship Id="rId12" Type="http://schemas.openxmlformats.org/officeDocument/2006/relationships/hyperlink" Target="consultantplus://offline/ref=5EBAEA7E277F347D195EF447F61F3CC9C3D1FA173979E4A8638A1E8472FE44756B40928020C5824F5B32DEAFD906E1954C8CE790C55AAA4FyDw5H" TargetMode="External"/><Relationship Id="rId17" Type="http://schemas.openxmlformats.org/officeDocument/2006/relationships/hyperlink" Target="consultantplus://offline/ref=5EBAEA7E277F347D195EF447F61F3CC9C3D1FB183C79E4A8638A1E8472FE44757940CA8C20CD944A502788FE9Fy5w1H" TargetMode="External"/><Relationship Id="rId25" Type="http://schemas.openxmlformats.org/officeDocument/2006/relationships/hyperlink" Target="consultantplus://offline/ref=5EBAEA7E277F347D195EF447F61F3CC9C3D1FA173979E4A8638A1E8472FE44757940CA8C20CD944A502788FE9Fy5w1H" TargetMode="External"/><Relationship Id="rId33" Type="http://schemas.openxmlformats.org/officeDocument/2006/relationships/hyperlink" Target="consultantplus://offline/ref=5EBAEA7E277F347D195EF447F61F3CC9C3D1FA173979E4A8638A1E8472FE44756B40928020C5824F5B32DEAFD906E1954C8CE790C55AAA4FyDw5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BAEA7E277F347D195EF447F61F3CC9C4D9F716387DE4A8638A1E8472FE44757940CA8C20CD944A502788FE9Fy5w1H" TargetMode="External"/><Relationship Id="rId20" Type="http://schemas.openxmlformats.org/officeDocument/2006/relationships/hyperlink" Target="consultantplus://offline/ref=5EBAEA7E277F347D195EF447F61F3CC9C3DCF61B397CE4A8638A1E8472FE44757940CA8C20CD944A502788FE9Fy5w1H" TargetMode="External"/><Relationship Id="rId29" Type="http://schemas.openxmlformats.org/officeDocument/2006/relationships/hyperlink" Target="consultantplus://offline/ref=5EBAEA7E277F347D195EEA4AE07366C5C7D2AC133278E6FA39D545D925F74E222C0FCBC264C98B49503E82FB9607BDD1109FE79AC558A953D52C85yFw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AEA7E277F347D195EEA4AE07366C5C7D2AC13327BEFFD3ED545D925F74E222C0FCBC264C98B4A53398AFA9607BDD1109FE79AC558A953D52C85yFw2H" TargetMode="External"/><Relationship Id="rId11" Type="http://schemas.openxmlformats.org/officeDocument/2006/relationships/hyperlink" Target="consultantplus://offline/ref=5EBAEA7E277F347D195EEA4AE07366C5C7D2AC13327FE6F93CD545D925F74E222C0FCBD06491874A5A278AFD8351EC97y4w7H" TargetMode="External"/><Relationship Id="rId24" Type="http://schemas.openxmlformats.org/officeDocument/2006/relationships/hyperlink" Target="consultantplus://offline/ref=5EBAEA7E277F347D195EF447F61F3CC9C3D1FA173979E4A8638A1E8472FE44756B40928020C5824F5B32DEAFD906E1954C8CE790C55AAA4FyDw5H" TargetMode="External"/><Relationship Id="rId32" Type="http://schemas.openxmlformats.org/officeDocument/2006/relationships/hyperlink" Target="consultantplus://offline/ref=5EBAEA7E277F347D195EF447F61F3CC9C3D1FB193A79E4A8638A1E8472FE44757940CA8C20CD944A502788FE9Fy5w1H" TargetMode="External"/><Relationship Id="rId37" Type="http://schemas.openxmlformats.org/officeDocument/2006/relationships/image" Target="media/image4.wmf"/><Relationship Id="rId5" Type="http://schemas.openxmlformats.org/officeDocument/2006/relationships/hyperlink" Target="consultantplus://offline/ref=5EBAEA7E277F347D195EEA4AE07366C5C7D2AC13327CE9F837D545D925F74E222C0FCBC264C98B4A53398AFB9607BDD1109FE79AC558A953D52C85yFw2H" TargetMode="External"/><Relationship Id="rId15" Type="http://schemas.openxmlformats.org/officeDocument/2006/relationships/hyperlink" Target="consultantplus://offline/ref=5EBAEA7E277F347D195EEA4AE07366C5C7D2AC13327EE6FB3AD545D925F74E222C0FCBC264C98B4A553983FB9607BDD1109FE79AC558A953D52C85yFw2H" TargetMode="External"/><Relationship Id="rId23" Type="http://schemas.openxmlformats.org/officeDocument/2006/relationships/hyperlink" Target="consultantplus://offline/ref=5EBAEA7E277F347D195EEA4AE07366C5C7D2AC133278E6FA39D545D925F74E222C0FCBC264C98B49503E82FB9607BDD1109FE79AC558A953D52C85yFw2H" TargetMode="External"/><Relationship Id="rId28" Type="http://schemas.openxmlformats.org/officeDocument/2006/relationships/hyperlink" Target="consultantplus://offline/ref=5EBAEA7E277F347D195EF447F61F3CC9C3D1FB193A79E4A8638A1E8472FE44757940CA8C20CD944A502788FE9Fy5w1H" TargetMode="External"/><Relationship Id="rId36" Type="http://schemas.openxmlformats.org/officeDocument/2006/relationships/image" Target="media/image3.wmf"/><Relationship Id="rId10" Type="http://schemas.openxmlformats.org/officeDocument/2006/relationships/hyperlink" Target="consultantplus://offline/ref=5EBAEA7E277F347D195EEA4AE07366C5C7D2AC13327AEAFB3DD545D925F74E222C0FCBC264C98B4A533A83FC9607BDD1109FE79AC558A953D52C85yFw2H" TargetMode="External"/><Relationship Id="rId19" Type="http://schemas.openxmlformats.org/officeDocument/2006/relationships/hyperlink" Target="consultantplus://offline/ref=5EBAEA7E277F347D195EEA4AE07366C5C7D2AC13337DEBFC39D545D925F74E222C0FCBD06491874A5A278AFD8351EC97y4w7H" TargetMode="External"/><Relationship Id="rId31" Type="http://schemas.openxmlformats.org/officeDocument/2006/relationships/hyperlink" Target="consultantplus://offline/ref=5EBAEA7E277F347D195EF447F61F3CC9C3D1FA173979E4A8638A1E8472FE44757940CA8C20CD944A502788FE9Fy5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AEA7E277F347D195EF447F61F3CC9C3DEF51E3979E4A8638A1E8472FE44756B40928020C788425232DEAFD906E1954C8CE790C55AAA4FyDw5H" TargetMode="External"/><Relationship Id="rId14" Type="http://schemas.openxmlformats.org/officeDocument/2006/relationships/hyperlink" Target="consultantplus://offline/ref=5EBAEA7E277F347D195EEA4AE07366C5C7D2AC133D7FEAFB3CD545D925F74E222C0FCBC264C98B4A52398FFC9607BDD1109FE79AC558A953D52C85yFw2H" TargetMode="External"/><Relationship Id="rId22" Type="http://schemas.openxmlformats.org/officeDocument/2006/relationships/hyperlink" Target="consultantplus://offline/ref=5EBAEA7E277F347D195EF447F61F3CC9C3D1FB193A79E4A8638A1E8472FE44757940CA8C20CD944A502788FE9Fy5w1H" TargetMode="External"/><Relationship Id="rId27" Type="http://schemas.openxmlformats.org/officeDocument/2006/relationships/hyperlink" Target="consultantplus://offline/ref=5EBAEA7E277F347D195EF447F61F3CC9C3D1FA173979E4A8638A1E8472FE44757940CA8C20CD944A502788FE9Fy5w1H" TargetMode="External"/><Relationship Id="rId30" Type="http://schemas.openxmlformats.org/officeDocument/2006/relationships/hyperlink" Target="consultantplus://offline/ref=5EBAEA7E277F347D195EEA4AE07366C5C7D2AC133278E6FA39D545D925F74E222C0FCBC264C98B49503E82FB9607BDD1109FE79AC558A953D52C85yFw2H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10000</Words>
  <Characters>57006</Characters>
  <Application>Microsoft Office Word</Application>
  <DocSecurity>0</DocSecurity>
  <Lines>475</Lines>
  <Paragraphs>133</Paragraphs>
  <ScaleCrop>false</ScaleCrop>
  <Company/>
  <LinksUpToDate>false</LinksUpToDate>
  <CharactersWithSpaces>66873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6</cp:revision>
  <dcterms:created xsi:type="dcterms:W3CDTF">2022-03-09T07:48:00Z</dcterms:created>
  <dcterms:modified xsi:type="dcterms:W3CDTF">2022-03-11T12:37:00Z</dcterms:modified>
</cp:coreProperties>
</file>